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E93" w:rsidRDefault="00EB5E93" w:rsidP="00EB5E93">
      <w:pPr>
        <w:pStyle w:val="Ttulo1"/>
        <w:pageBreakBefore/>
        <w:numPr>
          <w:ilvl w:val="0"/>
          <w:numId w:val="0"/>
        </w:numPr>
        <w:ind w:left="432"/>
        <w:rPr>
          <w:rFonts w:ascii="Times New Roman" w:hAnsi="Times New Roman"/>
          <w:sz w:val="20"/>
          <w:szCs w:val="20"/>
          <w:lang w:val="es-ES"/>
        </w:rPr>
      </w:pPr>
      <w:r>
        <w:rPr>
          <w:rFonts w:ascii="Times New Roman" w:hAnsi="Times New Roman"/>
          <w:sz w:val="20"/>
          <w:szCs w:val="20"/>
          <w:lang w:val="es-ES"/>
        </w:rPr>
        <w:t>ANEXO I</w:t>
      </w:r>
    </w:p>
    <w:p w:rsidR="00EB5E93" w:rsidRDefault="00EB5E93" w:rsidP="00EB5E93">
      <w:pPr>
        <w:pStyle w:val="Ttulo1"/>
        <w:numPr>
          <w:ilvl w:val="0"/>
          <w:numId w:val="0"/>
        </w:numPr>
        <w:ind w:left="432"/>
        <w:rPr>
          <w:rFonts w:ascii="Times New Roman" w:hAnsi="Times New Roman"/>
          <w:sz w:val="20"/>
          <w:szCs w:val="20"/>
        </w:rPr>
      </w:pPr>
      <w:bookmarkStart w:id="0" w:name="_GoBack"/>
      <w:r>
        <w:rPr>
          <w:rFonts w:ascii="Times New Roman" w:hAnsi="Times New Roman"/>
          <w:sz w:val="20"/>
          <w:szCs w:val="20"/>
          <w:lang w:val="es-ES"/>
        </w:rPr>
        <w:t>CATEGORÍA DE FUENTES RADIACTIVAS SELLADAS</w:t>
      </w:r>
    </w:p>
    <w:p w:rsidR="00EB5E93" w:rsidRDefault="00EB5E93" w:rsidP="00EB5E93">
      <w:pPr>
        <w:pStyle w:val="Normal1"/>
        <w:spacing w:after="0" w:line="100" w:lineRule="atLeast"/>
        <w:jc w:val="both"/>
        <w:rPr>
          <w:rFonts w:ascii="Times New Roman" w:hAnsi="Times New Roman" w:cs="Times New Roman"/>
          <w:sz w:val="20"/>
          <w:szCs w:val="20"/>
        </w:rPr>
      </w:pPr>
    </w:p>
    <w:bookmarkEnd w:id="0"/>
    <w:p w:rsidR="00EB5E93" w:rsidRDefault="00EB5E93" w:rsidP="00EB5E93">
      <w:pPr>
        <w:pStyle w:val="Normal1"/>
        <w:spacing w:after="0" w:line="100" w:lineRule="atLeast"/>
        <w:ind w:left="13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El sistema de categorización de fuentes se divide en cinco categorías a partir del valor de A/D, donde A es la actividad del radionúclido de una fuente y D la actividad del mismo que se considera peligrosa. Una fuente peligrosa se define como aquella que, de no estar controlada, podría dar lugar a una exposición suficiente para causar efectos deterministas graves. Los valores de D correspondientes a determinados radionúclidos se indican en la Norma Técnica sobre Seguridad Física de Fuentes Radiactivas.</w:t>
      </w:r>
      <w:r>
        <w:rPr>
          <w:rFonts w:ascii="Times New Roman" w:hAnsi="Times New Roman" w:cs="Times New Roman"/>
          <w:color w:val="FF0000"/>
        </w:rPr>
        <w:t xml:space="preserve"> </w:t>
      </w:r>
    </w:p>
    <w:p w:rsidR="00EB5E93" w:rsidRDefault="00EB5E93" w:rsidP="00EB5E93">
      <w:pPr>
        <w:pStyle w:val="Normal1"/>
        <w:spacing w:after="0" w:line="100" w:lineRule="atLeast"/>
        <w:ind w:left="13"/>
        <w:jc w:val="both"/>
        <w:rPr>
          <w:rFonts w:ascii="Times New Roman" w:hAnsi="Times New Roman" w:cs="Times New Roman"/>
          <w:color w:val="FF0000"/>
        </w:rPr>
      </w:pPr>
    </w:p>
    <w:tbl>
      <w:tblPr>
        <w:bidiVisual/>
        <w:tblW w:w="9697" w:type="dxa"/>
        <w:tblInd w:w="-42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17"/>
        <w:gridCol w:w="2434"/>
        <w:gridCol w:w="5846"/>
      </w:tblGrid>
      <w:tr w:rsidR="00EB5E93" w:rsidTr="00EB5E9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B5E93" w:rsidRDefault="00EB5E93" w:rsidP="00167E14">
            <w:pPr>
              <w:pStyle w:val="Normal1"/>
              <w:bidi/>
              <w:spacing w:after="0" w:line="100" w:lineRule="atLeast"/>
              <w:ind w:left="-67"/>
              <w:jc w:val="center"/>
            </w:pPr>
            <w:r>
              <w:rPr>
                <w:rFonts w:ascii="Times New Roman" w:hAnsi="Times New Roman" w:cs="Times New Roman"/>
                <w:b/>
              </w:rPr>
              <w:t>Categoría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:rsidR="00EB5E93" w:rsidRDefault="00EB5E93" w:rsidP="00167E14">
            <w:pPr>
              <w:pStyle w:val="Normal1"/>
              <w:bidi/>
              <w:spacing w:after="0" w:line="100" w:lineRule="atLeast"/>
              <w:ind w:left="-6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Razón entre la actividad de la fuente y la actividad que</w:t>
            </w:r>
          </w:p>
          <w:p w:rsidR="00EB5E93" w:rsidRDefault="00EB5E93" w:rsidP="00167E14">
            <w:pPr>
              <w:pStyle w:val="Normal1"/>
              <w:bidi/>
              <w:spacing w:after="0" w:line="100" w:lineRule="atLeast"/>
              <w:ind w:left="-67"/>
              <w:jc w:val="center"/>
              <w:rPr>
                <w:rFonts w:ascii="Times New Roman" w:hAnsi="Times New Roman" w:cs="Times New Roman"/>
                <w:b/>
                <w:rtl/>
              </w:rPr>
            </w:pPr>
            <w:r>
              <w:rPr>
                <w:rFonts w:ascii="Times New Roman" w:hAnsi="Times New Roman" w:cs="Times New Roman"/>
                <w:b/>
              </w:rPr>
              <w:t>se considera peligrosa</w:t>
            </w:r>
          </w:p>
          <w:p w:rsidR="00EB5E93" w:rsidRDefault="00EB5E93" w:rsidP="00167E14">
            <w:pPr>
              <w:pStyle w:val="Normal1"/>
              <w:bidi/>
              <w:spacing w:after="0" w:line="100" w:lineRule="atLeast"/>
              <w:ind w:left="-67"/>
              <w:jc w:val="center"/>
            </w:pPr>
            <w:r>
              <w:rPr>
                <w:rFonts w:ascii="Times New Roman" w:hAnsi="Times New Roman" w:cs="Times New Roman"/>
                <w:b/>
                <w:rtl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A/D</w:t>
            </w:r>
            <w:r>
              <w:rPr>
                <w:rFonts w:ascii="Times New Roman" w:hAnsi="Times New Roman" w:cs="Times New Roman"/>
                <w:b/>
                <w:rtl/>
              </w:rPr>
              <w:t>)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EB5E93" w:rsidRDefault="00EB5E93" w:rsidP="00167E14">
            <w:pPr>
              <w:pStyle w:val="Normal1"/>
              <w:bidi/>
              <w:spacing w:after="0" w:line="100" w:lineRule="atLeast"/>
              <w:ind w:left="-67"/>
              <w:jc w:val="center"/>
            </w:pPr>
            <w:r>
              <w:rPr>
                <w:rFonts w:ascii="Times New Roman" w:hAnsi="Times New Roman" w:cs="Times New Roman"/>
                <w:b/>
              </w:rPr>
              <w:t>Fuentes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y prácticas</w:t>
            </w:r>
          </w:p>
        </w:tc>
      </w:tr>
      <w:tr w:rsidR="00EB5E93" w:rsidTr="00EB5E9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E93" w:rsidRDefault="00EB5E93" w:rsidP="00167E14">
            <w:pPr>
              <w:pStyle w:val="Normal1"/>
              <w:bidi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E93" w:rsidRDefault="00EB5E93" w:rsidP="00167E14">
            <w:pPr>
              <w:pStyle w:val="Normal1"/>
              <w:bidi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A/D ≥ 1000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E93" w:rsidRDefault="00EB5E93" w:rsidP="00167E14">
            <w:pPr>
              <w:pStyle w:val="Normal1"/>
              <w:bidi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Fuentes de </w:t>
            </w:r>
            <w:proofErr w:type="spellStart"/>
            <w:r>
              <w:rPr>
                <w:rFonts w:ascii="Times New Roman" w:hAnsi="Times New Roman" w:cs="Times New Roman"/>
              </w:rPr>
              <w:t>teleterapia</w:t>
            </w:r>
            <w:proofErr w:type="spellEnd"/>
          </w:p>
          <w:p w:rsidR="00EB5E93" w:rsidRDefault="00EB5E93" w:rsidP="00167E14">
            <w:pPr>
              <w:pStyle w:val="Normal1"/>
              <w:bidi/>
              <w:spacing w:after="0" w:line="100" w:lineRule="atLeast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 xml:space="preserve">Fuentes de </w:t>
            </w:r>
            <w:proofErr w:type="spellStart"/>
            <w:r>
              <w:rPr>
                <w:rFonts w:ascii="Times New Roman" w:hAnsi="Times New Roman" w:cs="Times New Roman"/>
              </w:rPr>
              <w:t>teleterapia</w:t>
            </w:r>
            <w:proofErr w:type="spellEnd"/>
            <w:r>
              <w:rPr>
                <w:rFonts w:ascii="Times New Roman" w:hAnsi="Times New Roman" w:cs="Times New Roman"/>
              </w:rPr>
              <w:t xml:space="preserve"> fijas de haces múltiples</w:t>
            </w:r>
          </w:p>
          <w:p w:rsidR="00EB5E93" w:rsidRDefault="00EB5E93" w:rsidP="00167E14">
            <w:pPr>
              <w:pStyle w:val="Normal1"/>
              <w:bidi/>
              <w:spacing w:after="0" w:line="100" w:lineRule="atLeast"/>
              <w:jc w:val="both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  <w:rtl/>
              </w:rPr>
              <w:t>("</w:t>
            </w:r>
            <w:r>
              <w:rPr>
                <w:rFonts w:ascii="Times New Roman" w:hAnsi="Times New Roman" w:cs="Times New Roman"/>
              </w:rPr>
              <w:t>cuchillo gamma</w:t>
            </w:r>
            <w:r>
              <w:rPr>
                <w:rFonts w:ascii="Times New Roman" w:hAnsi="Times New Roman" w:cs="Times New Roman"/>
                <w:rtl/>
              </w:rPr>
              <w:t>”)</w:t>
            </w:r>
          </w:p>
          <w:p w:rsidR="00EB5E93" w:rsidRDefault="00EB5E93" w:rsidP="00167E14">
            <w:pPr>
              <w:pStyle w:val="Normal1"/>
              <w:bidi/>
              <w:spacing w:after="0" w:line="100" w:lineRule="atLeast"/>
              <w:jc w:val="both"/>
              <w:rPr>
                <w:rFonts w:ascii="Times New Roman" w:hAnsi="Times New Roman" w:cs="Times New Roman"/>
                <w:rtl/>
              </w:rPr>
            </w:pPr>
          </w:p>
        </w:tc>
      </w:tr>
      <w:tr w:rsidR="00EB5E93" w:rsidTr="00EB5E9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E93" w:rsidRDefault="00EB5E93" w:rsidP="00167E14">
            <w:pPr>
              <w:pStyle w:val="Normal1"/>
              <w:bidi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E93" w:rsidRDefault="00EB5E93" w:rsidP="00167E14">
            <w:pPr>
              <w:pStyle w:val="Normal1"/>
              <w:bidi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1000</w:t>
            </w:r>
            <w:r>
              <w:rPr>
                <w:rFonts w:ascii="Times New Roman" w:hAnsi="Times New Roman" w:cs="Times New Roman"/>
                <w:rtl/>
              </w:rPr>
              <w:t>&gt;</w:t>
            </w:r>
            <w:r>
              <w:rPr>
                <w:rFonts w:ascii="Times New Roman" w:hAnsi="Times New Roman" w:cs="Times New Roman"/>
              </w:rPr>
              <w:t>A/D ≥ 10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E93" w:rsidRDefault="00EB5E93" w:rsidP="00167E14">
            <w:pPr>
              <w:pStyle w:val="Normal1"/>
              <w:bidi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Fuentes de gammagrafía industrial</w:t>
            </w:r>
          </w:p>
          <w:p w:rsidR="00EB5E93" w:rsidRDefault="00EB5E93" w:rsidP="00167E14">
            <w:pPr>
              <w:pStyle w:val="Normal1"/>
              <w:bidi/>
              <w:spacing w:after="0" w:line="100" w:lineRule="atLeast"/>
              <w:jc w:val="both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 xml:space="preserve">Fuentes de </w:t>
            </w:r>
            <w:proofErr w:type="spellStart"/>
            <w:r>
              <w:rPr>
                <w:rFonts w:ascii="Times New Roman" w:hAnsi="Times New Roman" w:cs="Times New Roman"/>
              </w:rPr>
              <w:t>braquiterapia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tasa de dosis alta/media</w:t>
            </w:r>
          </w:p>
          <w:p w:rsidR="00EB5E93" w:rsidRDefault="00EB5E93" w:rsidP="00167E14">
            <w:pPr>
              <w:pStyle w:val="Normal1"/>
              <w:bidi/>
              <w:spacing w:after="0" w:line="100" w:lineRule="atLeast"/>
              <w:ind w:left="0"/>
              <w:jc w:val="both"/>
              <w:rPr>
                <w:rFonts w:ascii="Times New Roman" w:hAnsi="Times New Roman" w:cs="Times New Roman"/>
                <w:rtl/>
              </w:rPr>
            </w:pPr>
          </w:p>
        </w:tc>
      </w:tr>
      <w:tr w:rsidR="00EB5E93" w:rsidTr="00EB5E9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E93" w:rsidRDefault="00EB5E93" w:rsidP="00167E14">
            <w:pPr>
              <w:pStyle w:val="Normal1"/>
              <w:bidi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E93" w:rsidRDefault="00EB5E93" w:rsidP="00167E14">
            <w:pPr>
              <w:pStyle w:val="Normal1"/>
              <w:bidi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rtl/>
              </w:rPr>
              <w:t>&gt;</w:t>
            </w:r>
            <w:r>
              <w:rPr>
                <w:rFonts w:ascii="Times New Roman" w:hAnsi="Times New Roman" w:cs="Times New Roman"/>
              </w:rPr>
              <w:t>A/D ≥ 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E93" w:rsidRDefault="00EB5E93" w:rsidP="00167E14">
            <w:pPr>
              <w:pStyle w:val="Normal1"/>
              <w:bidi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Medidores industriales fijos con fuentes de alta actividad</w:t>
            </w:r>
            <w:r>
              <w:rPr>
                <w:rFonts w:ascii="Times New Roman" w:hAnsi="Times New Roman" w:cs="Times New Roman"/>
                <w:rtl/>
              </w:rPr>
              <w:t xml:space="preserve"> </w:t>
            </w:r>
          </w:p>
          <w:p w:rsidR="00EB5E93" w:rsidRDefault="00EB5E93" w:rsidP="00167E14">
            <w:pPr>
              <w:pStyle w:val="Normal1"/>
              <w:bidi/>
              <w:spacing w:after="0" w:line="100" w:lineRule="atLeast"/>
              <w:jc w:val="both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Sondas de pozos</w:t>
            </w:r>
          </w:p>
          <w:p w:rsidR="00EB5E93" w:rsidRDefault="00EB5E93" w:rsidP="00167E14">
            <w:pPr>
              <w:pStyle w:val="Normal1"/>
              <w:bidi/>
              <w:spacing w:after="0" w:line="100" w:lineRule="atLeast"/>
              <w:jc w:val="both"/>
              <w:rPr>
                <w:rFonts w:ascii="Times New Roman" w:hAnsi="Times New Roman" w:cs="Times New Roman"/>
                <w:rtl/>
              </w:rPr>
            </w:pPr>
          </w:p>
        </w:tc>
      </w:tr>
      <w:tr w:rsidR="00EB5E93" w:rsidTr="00EB5E9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E93" w:rsidRDefault="00EB5E93" w:rsidP="00167E14">
            <w:pPr>
              <w:pStyle w:val="Normal1"/>
              <w:bidi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E93" w:rsidRDefault="00EB5E93" w:rsidP="00167E14">
            <w:pPr>
              <w:pStyle w:val="Normal1"/>
              <w:bidi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rtl/>
              </w:rPr>
              <w:t>&gt;</w:t>
            </w:r>
            <w:r>
              <w:rPr>
                <w:rFonts w:ascii="Times New Roman" w:hAnsi="Times New Roman" w:cs="Times New Roman"/>
              </w:rPr>
              <w:t>A/D ≥ 0,01</w:t>
            </w: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E93" w:rsidRDefault="00EB5E93" w:rsidP="00167E14">
            <w:pPr>
              <w:pStyle w:val="Normal1"/>
              <w:bidi/>
              <w:spacing w:after="0" w:line="100" w:lineRule="atLeast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 xml:space="preserve">Fuentes de </w:t>
            </w:r>
            <w:proofErr w:type="spellStart"/>
            <w:r>
              <w:rPr>
                <w:rFonts w:ascii="Times New Roman" w:hAnsi="Times New Roman" w:cs="Times New Roman"/>
              </w:rPr>
              <w:t>braquiterapia</w:t>
            </w:r>
            <w:proofErr w:type="spellEnd"/>
            <w:r>
              <w:rPr>
                <w:rFonts w:ascii="Times New Roman" w:hAnsi="Times New Roman" w:cs="Times New Roman"/>
              </w:rPr>
              <w:t xml:space="preserve"> de baja tasa de dosis</w:t>
            </w:r>
          </w:p>
          <w:p w:rsidR="00EB5E93" w:rsidRDefault="00EB5E93" w:rsidP="00167E14">
            <w:pPr>
              <w:pStyle w:val="Normal1"/>
              <w:bidi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rtl/>
              </w:rPr>
              <w:t>(</w:t>
            </w:r>
            <w:r>
              <w:rPr>
                <w:rFonts w:ascii="Times New Roman" w:hAnsi="Times New Roman" w:cs="Times New Roman"/>
              </w:rPr>
              <w:t>salvo placas oftálmicas e implantes permanentes</w:t>
            </w:r>
            <w:r>
              <w:rPr>
                <w:rFonts w:ascii="Times New Roman" w:hAnsi="Times New Roman" w:cs="Times New Roman"/>
                <w:rtl/>
              </w:rPr>
              <w:t>)</w:t>
            </w:r>
          </w:p>
          <w:p w:rsidR="00EB5E93" w:rsidRDefault="00EB5E93" w:rsidP="00167E14">
            <w:pPr>
              <w:pStyle w:val="Normal1"/>
              <w:bidi/>
              <w:spacing w:after="0" w:line="100" w:lineRule="atLeast"/>
              <w:ind w:left="28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Medidores industriales que no tienen fuentes de alta actividad</w:t>
            </w:r>
          </w:p>
          <w:p w:rsidR="00EB5E93" w:rsidRDefault="00EB5E93" w:rsidP="00167E14">
            <w:pPr>
              <w:pStyle w:val="Normal1"/>
              <w:bidi/>
              <w:spacing w:after="0"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Densitómetros óseos</w:t>
            </w:r>
          </w:p>
          <w:p w:rsidR="00EB5E93" w:rsidRDefault="00EB5E93" w:rsidP="00167E14">
            <w:pPr>
              <w:pStyle w:val="Normal1"/>
              <w:bidi/>
              <w:spacing w:after="0" w:line="100" w:lineRule="atLeast"/>
              <w:jc w:val="both"/>
              <w:rPr>
                <w:rFonts w:ascii="Times New Roman" w:hAnsi="Times New Roman" w:cs="Times New Roman"/>
                <w:rtl/>
              </w:rPr>
            </w:pPr>
            <w:r>
              <w:rPr>
                <w:rFonts w:ascii="Times New Roman" w:hAnsi="Times New Roman" w:cs="Times New Roman"/>
              </w:rPr>
              <w:t>Eliminadores de electricidad estática</w:t>
            </w:r>
          </w:p>
          <w:p w:rsidR="00EB5E93" w:rsidRDefault="00EB5E93" w:rsidP="00167E14">
            <w:pPr>
              <w:pStyle w:val="Normal1"/>
              <w:bidi/>
              <w:spacing w:after="0" w:line="100" w:lineRule="atLeast"/>
              <w:jc w:val="both"/>
              <w:rPr>
                <w:rFonts w:ascii="Times New Roman" w:hAnsi="Times New Roman" w:cs="Times New Roman"/>
                <w:rtl/>
              </w:rPr>
            </w:pPr>
          </w:p>
        </w:tc>
      </w:tr>
      <w:tr w:rsidR="00EB5E93" w:rsidTr="00EB5E93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E93" w:rsidRDefault="00EB5E93" w:rsidP="00167E14">
            <w:pPr>
              <w:pStyle w:val="Normal1"/>
              <w:bidi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B5E93" w:rsidRDefault="00EB5E93" w:rsidP="00167E14">
            <w:pPr>
              <w:pStyle w:val="Normal1"/>
              <w:bidi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  <w:r>
              <w:rPr>
                <w:rFonts w:ascii="Times New Roman" w:hAnsi="Times New Roman" w:cs="Times New Roman"/>
                <w:rtl/>
              </w:rPr>
              <w:t>&gt;</w:t>
            </w:r>
            <w:r>
              <w:rPr>
                <w:rFonts w:ascii="Times New Roman" w:hAnsi="Times New Roman" w:cs="Times New Roman"/>
              </w:rPr>
              <w:t>A/D</w:t>
            </w:r>
          </w:p>
          <w:p w:rsidR="00EB5E93" w:rsidRDefault="00EB5E93" w:rsidP="00167E14">
            <w:pPr>
              <w:pStyle w:val="Normal1"/>
              <w:bidi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</w:t>
            </w:r>
          </w:p>
          <w:p w:rsidR="00EB5E93" w:rsidRDefault="00EB5E93" w:rsidP="00167E14">
            <w:pPr>
              <w:pStyle w:val="Normal1"/>
              <w:bidi/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</w:rPr>
              <w:t>A&gt;</w:t>
            </w:r>
            <w:proofErr w:type="spellStart"/>
            <w:r>
              <w:rPr>
                <w:rFonts w:ascii="Times New Roman" w:hAnsi="Times New Roman" w:cs="Times New Roman"/>
              </w:rPr>
              <w:t>exenta</w:t>
            </w:r>
            <w:r>
              <w:rPr>
                <w:rFonts w:ascii="Times New Roman" w:hAnsi="Times New Roman" w:cs="Times New Roman"/>
                <w:b/>
                <w:vertAlign w:val="superscript"/>
              </w:rPr>
              <w:t>a</w:t>
            </w:r>
            <w:proofErr w:type="spellEnd"/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B5E93" w:rsidRDefault="00EB5E93" w:rsidP="00167E14">
            <w:pPr>
              <w:pStyle w:val="Normal1"/>
              <w:bidi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Placas oftálmicas y fuentes de implante permanente</w:t>
            </w:r>
          </w:p>
          <w:p w:rsidR="00EB5E93" w:rsidRDefault="00EB5E93" w:rsidP="00167E14">
            <w:pPr>
              <w:pStyle w:val="Normal1"/>
              <w:bidi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Dispositivos de fluorescencia de rayos X</w:t>
            </w:r>
          </w:p>
          <w:p w:rsidR="00EB5E93" w:rsidRDefault="00EB5E93" w:rsidP="00167E14">
            <w:pPr>
              <w:pStyle w:val="Normal1"/>
              <w:bidi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Dispositivos de captura de electrones</w:t>
            </w:r>
          </w:p>
          <w:p w:rsidR="00EB5E93" w:rsidRDefault="00EB5E93" w:rsidP="00167E14">
            <w:pPr>
              <w:pStyle w:val="Normal1"/>
              <w:bidi/>
              <w:spacing w:after="0" w:line="100" w:lineRule="atLeast"/>
              <w:jc w:val="both"/>
              <w:rPr>
                <w:rFonts w:ascii="Times New Roman" w:hAnsi="Times New Roman" w:cs="Times New Roman"/>
                <w:shd w:val="clear" w:color="auto" w:fill="00FF00"/>
                <w:rtl/>
              </w:rPr>
            </w:pPr>
            <w:r>
              <w:rPr>
                <w:rFonts w:ascii="Times New Roman" w:hAnsi="Times New Roman" w:cs="Times New Roman"/>
              </w:rPr>
              <w:t xml:space="preserve">Fuentes de espectrometría </w:t>
            </w:r>
            <w:proofErr w:type="spellStart"/>
            <w:r>
              <w:rPr>
                <w:rFonts w:ascii="Times New Roman" w:hAnsi="Times New Roman" w:cs="Times New Roman"/>
              </w:rPr>
              <w:t>Mossbauer</w:t>
            </w:r>
            <w:proofErr w:type="spellEnd"/>
          </w:p>
          <w:p w:rsidR="00EB5E93" w:rsidRDefault="00EB5E93" w:rsidP="00167E14">
            <w:pPr>
              <w:pStyle w:val="Normal1"/>
              <w:bidi/>
              <w:spacing w:after="0" w:line="100" w:lineRule="atLeast"/>
              <w:ind w:left="0"/>
              <w:rPr>
                <w:rFonts w:ascii="Times New Roman" w:hAnsi="Times New Roman" w:cs="Times New Roman"/>
                <w:shd w:val="clear" w:color="auto" w:fill="00FF00"/>
                <w:rtl/>
              </w:rPr>
            </w:pPr>
          </w:p>
        </w:tc>
      </w:tr>
    </w:tbl>
    <w:p w:rsidR="00EB5E93" w:rsidRDefault="00EB5E93" w:rsidP="00EB5E93">
      <w:pPr>
        <w:pStyle w:val="Normal1"/>
        <w:spacing w:after="0" w:line="100" w:lineRule="atLeast"/>
        <w:jc w:val="both"/>
        <w:rPr>
          <w:rFonts w:ascii="Times New Roman" w:hAnsi="Times New Roman" w:cs="Times New Roman"/>
        </w:rPr>
      </w:pPr>
    </w:p>
    <w:p w:rsidR="00EB5E93" w:rsidRDefault="00EB5E93" w:rsidP="00EB5E93">
      <w:pPr>
        <w:pStyle w:val="Normal1"/>
        <w:numPr>
          <w:ilvl w:val="0"/>
          <w:numId w:val="2"/>
        </w:numPr>
        <w:spacing w:after="0" w:line="100" w:lineRule="atLeast"/>
        <w:ind w:left="567" w:hanging="424"/>
        <w:jc w:val="both"/>
        <w:rPr>
          <w:rFonts w:ascii="Times New Roman" w:hAnsi="Times New Roman" w:cs="Times New Roman"/>
        </w:rPr>
      </w:pPr>
      <w:bookmarkStart w:id="1" w:name="_Hlk113277993"/>
      <w:r>
        <w:rPr>
          <w:rFonts w:ascii="Times New Roman" w:hAnsi="Times New Roman" w:cs="Times New Roman"/>
        </w:rPr>
        <w:t>Las cantidades exentas figuran en la normativa del Organismo Internacional de Energía Atómica.</w:t>
      </w:r>
    </w:p>
    <w:bookmarkEnd w:id="1"/>
    <w:p w:rsidR="00EB5E93" w:rsidRDefault="00EB5E93" w:rsidP="00EB5E93">
      <w:pPr>
        <w:pStyle w:val="Normal1"/>
        <w:spacing w:after="0" w:line="100" w:lineRule="atLeast"/>
        <w:rPr>
          <w:rFonts w:ascii="Times New Roman" w:hAnsi="Times New Roman" w:cs="Times New Roman"/>
        </w:rPr>
      </w:pPr>
    </w:p>
    <w:p w:rsidR="00EB5E93" w:rsidRDefault="00EB5E93" w:rsidP="00EB5E93">
      <w:pPr>
        <w:pStyle w:val="Normal1"/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EB5E93" w:rsidRDefault="00EB5E93" w:rsidP="00EB5E93">
      <w:pPr>
        <w:spacing w:after="0" w:line="200" w:lineRule="atLeast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5E93" w:rsidRDefault="00EB5E93" w:rsidP="00EB5E93">
      <w:pPr>
        <w:spacing w:after="0" w:line="200" w:lineRule="atLeast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5E93" w:rsidRDefault="00EB5E93" w:rsidP="00EB5E93">
      <w:pPr>
        <w:spacing w:after="0" w:line="200" w:lineRule="atLeast"/>
        <w:ind w:left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B5E93" w:rsidRDefault="00EB5E93" w:rsidP="00EB5E93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EB5E93" w:rsidRDefault="00EB5E93" w:rsidP="00EB5E93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EB5E93" w:rsidRDefault="00EB5E93" w:rsidP="00EB5E93">
      <w:pPr>
        <w:spacing w:after="0" w:line="200" w:lineRule="atLeast"/>
        <w:ind w:left="0"/>
        <w:rPr>
          <w:rFonts w:ascii="Times New Roman" w:hAnsi="Times New Roman" w:cs="Times New Roman"/>
          <w:highlight w:val="yellow"/>
        </w:rPr>
      </w:pPr>
    </w:p>
    <w:p w:rsidR="00784B3E" w:rsidRDefault="00784B3E"/>
    <w:sectPr w:rsidR="00784B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48"/>
    <w:multiLevelType w:val="multilevel"/>
    <w:tmpl w:val="00000048"/>
    <w:name w:val="WW8Num72"/>
    <w:lvl w:ilvl="0">
      <w:start w:val="1"/>
      <w:numFmt w:val="lowerLetter"/>
      <w:lvlText w:val="%1."/>
      <w:lvlJc w:val="left"/>
      <w:pPr>
        <w:tabs>
          <w:tab w:val="num" w:pos="0"/>
        </w:tabs>
        <w:ind w:left="720" w:firstLine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firstLine="10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firstLine="19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firstLine="252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firstLine="324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firstLine="414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firstLine="468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firstLine="540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firstLine="63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E93"/>
    <w:rsid w:val="00784B3E"/>
    <w:rsid w:val="00EB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93"/>
    <w:pPr>
      <w:suppressAutoHyphens/>
      <w:ind w:left="221"/>
    </w:pPr>
    <w:rPr>
      <w:rFonts w:ascii="Arial" w:eastAsia="Arial" w:hAnsi="Arial" w:cs="Arial"/>
      <w:color w:val="000000"/>
      <w:lang w:val="es-ES" w:eastAsia="zh-CN"/>
    </w:rPr>
  </w:style>
  <w:style w:type="paragraph" w:styleId="Ttulo1">
    <w:name w:val="heading 1"/>
    <w:basedOn w:val="Normal1"/>
    <w:next w:val="Normal1"/>
    <w:link w:val="Ttulo1Car"/>
    <w:qFormat/>
    <w:rsid w:val="00EB5E93"/>
    <w:pPr>
      <w:keepNext/>
      <w:keepLines/>
      <w:numPr>
        <w:numId w:val="1"/>
      </w:numPr>
      <w:spacing w:after="0" w:line="100" w:lineRule="atLeast"/>
      <w:jc w:val="center"/>
      <w:outlineLvl w:val="0"/>
    </w:pPr>
    <w:rPr>
      <w:rFonts w:ascii="Cambria" w:hAnsi="Cambria" w:cs="Times New Roman"/>
      <w:b/>
      <w:bCs/>
      <w:kern w:val="2"/>
      <w:sz w:val="32"/>
      <w:szCs w:val="32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5E93"/>
    <w:rPr>
      <w:rFonts w:ascii="Cambria" w:eastAsia="Arial" w:hAnsi="Cambria" w:cs="Times New Roman"/>
      <w:b/>
      <w:bCs/>
      <w:color w:val="000000"/>
      <w:kern w:val="2"/>
      <w:sz w:val="32"/>
      <w:szCs w:val="32"/>
      <w:lang w:eastAsia="zh-CN"/>
    </w:rPr>
  </w:style>
  <w:style w:type="paragraph" w:customStyle="1" w:styleId="Normal1">
    <w:name w:val="Normal1"/>
    <w:rsid w:val="00EB5E93"/>
    <w:pPr>
      <w:suppressAutoHyphens/>
      <w:ind w:left="221"/>
    </w:pPr>
    <w:rPr>
      <w:rFonts w:ascii="Arial" w:eastAsia="Arial" w:hAnsi="Arial" w:cs="Arial"/>
      <w:color w:val="000000"/>
      <w:lang w:val="es-E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E93"/>
    <w:pPr>
      <w:suppressAutoHyphens/>
      <w:ind w:left="221"/>
    </w:pPr>
    <w:rPr>
      <w:rFonts w:ascii="Arial" w:eastAsia="Arial" w:hAnsi="Arial" w:cs="Arial"/>
      <w:color w:val="000000"/>
      <w:lang w:val="es-ES" w:eastAsia="zh-CN"/>
    </w:rPr>
  </w:style>
  <w:style w:type="paragraph" w:styleId="Ttulo1">
    <w:name w:val="heading 1"/>
    <w:basedOn w:val="Normal1"/>
    <w:next w:val="Normal1"/>
    <w:link w:val="Ttulo1Car"/>
    <w:qFormat/>
    <w:rsid w:val="00EB5E93"/>
    <w:pPr>
      <w:keepNext/>
      <w:keepLines/>
      <w:numPr>
        <w:numId w:val="1"/>
      </w:numPr>
      <w:spacing w:after="0" w:line="100" w:lineRule="atLeast"/>
      <w:jc w:val="center"/>
      <w:outlineLvl w:val="0"/>
    </w:pPr>
    <w:rPr>
      <w:rFonts w:ascii="Cambria" w:hAnsi="Cambria" w:cs="Times New Roman"/>
      <w:b/>
      <w:bCs/>
      <w:kern w:val="2"/>
      <w:sz w:val="32"/>
      <w:szCs w:val="32"/>
      <w:lang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EB5E93"/>
    <w:rPr>
      <w:rFonts w:ascii="Cambria" w:eastAsia="Arial" w:hAnsi="Cambria" w:cs="Times New Roman"/>
      <w:b/>
      <w:bCs/>
      <w:color w:val="000000"/>
      <w:kern w:val="2"/>
      <w:sz w:val="32"/>
      <w:szCs w:val="32"/>
      <w:lang w:eastAsia="zh-CN"/>
    </w:rPr>
  </w:style>
  <w:style w:type="paragraph" w:customStyle="1" w:styleId="Normal1">
    <w:name w:val="Normal1"/>
    <w:rsid w:val="00EB5E93"/>
    <w:pPr>
      <w:suppressAutoHyphens/>
      <w:ind w:left="221"/>
    </w:pPr>
    <w:rPr>
      <w:rFonts w:ascii="Arial" w:eastAsia="Arial" w:hAnsi="Arial" w:cs="Arial"/>
      <w:color w:val="000000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Garay</dc:creator>
  <cp:lastModifiedBy>Fernando Garay</cp:lastModifiedBy>
  <cp:revision>1</cp:revision>
  <dcterms:created xsi:type="dcterms:W3CDTF">2024-09-18T19:24:00Z</dcterms:created>
  <dcterms:modified xsi:type="dcterms:W3CDTF">2024-09-18T19:25:00Z</dcterms:modified>
</cp:coreProperties>
</file>